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CF0" w:rsidRPr="00462CF0" w:rsidRDefault="00462CF0" w:rsidP="00462CF0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</w:pPr>
      <w:r>
        <w:rPr>
          <w:rFonts w:ascii="Arial" w:eastAsia="Times New Roman" w:hAnsi="Arial" w:cs="Arial"/>
          <w:caps/>
          <w:color w:val="000000"/>
          <w:kern w:val="36"/>
          <w:sz w:val="60"/>
          <w:szCs w:val="60"/>
          <w:lang w:eastAsia="ru-RU"/>
        </w:rPr>
        <w:t>БИЗНЕС-ПЛАН СТОЛОВОЙ</w:t>
      </w:r>
      <w:bookmarkStart w:id="0" w:name="_GoBack"/>
      <w:bookmarkEnd w:id="0"/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462CF0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1. РЕЗЮМЕ ПРОЕКТА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проекта - создание предприятия общественного питания, категории «столовая» на территории бизнес-парка «Западный» г. Ростова-на-Дону. Ценовой сегмент – «эконом»; публичное наименование – «Сидим-Едим». Предпосылками для создания проекта являются: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активное развитие бизнес-парка и привлечение арендаторов;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особенность территориального расположения бизнес-парка и пропускной режим;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отсутствие значительного уровня конкуренции на локальном рынке (под локальным рынком понимается территория бизнес-парка).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Предприятие оснащается новым современным оборудованием, позволяющим обеспечить высокую производительность линии и высокое качество блюд. Подбору персонала уделяется особенное внимание, что также положительно скажется на производительности и качестве. Эти факторы, а также доступная цена, являются основными конкурентными преимуществами предприятия.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CF0">
        <w:rPr>
          <w:rFonts w:ascii="Times New Roman" w:eastAsia="Times New Roman" w:hAnsi="Times New Roman" w:cs="Times New Roman"/>
          <w:color w:val="000000"/>
          <w:lang w:eastAsia="ru-RU"/>
        </w:rPr>
        <w:t>Таблица 1. Интегральные показатели эффективности проекта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48375" cy="1647825"/>
            <wp:effectExtent l="0" t="0" r="9525" b="9525"/>
            <wp:docPr id="7" name="Рисунок 7" descr="Интегральные показатели эффективности проек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нтегральные показатели эффективности проект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462CF0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2. ОПИСАНИЕ КОМПАНИИ И ОТРАСЛИ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Облик предприятия обусловлен, в первую очередь, его расположением. Бизнес-парк (БП) «Западный» расположен на западной окраине г. Ростова-на-Дону и представляет собой территорию крупнейшего производственного предприятия советских времен. Общая </w:t>
      </w:r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площадь территории – около 500 000 м</w:t>
      </w:r>
      <w:proofErr w:type="gramStart"/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2</w:t>
      </w:r>
      <w:proofErr w:type="gramEnd"/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на которой расположены производственные и офисные помещения, склады, гаражи, есть собственный железнодорожный тупик. С 2010-х гг. территория активно развивается в качестве объекта аренды: проводится реконструкция и модернизация территории и зданий. Наибольшая активность по модернизации основных фондов пришлась на 2015 год, было отремонтировано порядка 10 тысяч квадратных метров производственных помещений. При этом, стоимость аренды находится на достаточно низком уровне по сравнению с </w:t>
      </w:r>
      <w:proofErr w:type="gramStart"/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подобными</w:t>
      </w:r>
      <w:proofErr w:type="gramEnd"/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бизнес-парками города, что, в условиях сложной экономической обстановки в стране, может привлечь не только вновь открывающихся предприятий, но и вызвать приток арендаторов из других бизнес-парков и производственных комплексов, сдаваемых в аренду.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Территория БП огорожена кирпичным забором. Доступ на территорию осуществляется строго по пропускам через два пешеходных контрольно-пропускных пункта и один транспортный. Ближайший магазин или пункт общественного питания находится примерно в 10 минутах ходьбы от любой проходной. Кроме того, БП </w:t>
      </w:r>
      <w:proofErr w:type="gramStart"/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</w:t>
      </w:r>
      <w:proofErr w:type="gramEnd"/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достаточном удалении от жилых районов, что означает невозможность для рабочих, даже проживающих наиболее близко к БП, обедать дома. С другой стороны, данные ограничения не позволяют привлекать посетителей из расположенных за территорией БП офисных зданий, однако предполагается, что внутренний поток вполне в состоянии обеспечить проекту достаточный уровень выручки.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большого количества производственных площадей на территории бизнес-парка позволяет предположить, что основной категорией арендаторов будут производственные предприятия различной величины. Таким образом, до 70% работников предприятий, расположенных на территории БП, являются производственными рабочими, уровень доходов которых относительно невелик. Именно они являются основной целевой аудиторией проекта. Как следствие, необходимо обеспечить доступную стоимость блюд; доход будет формироваться за счет потока посетителей, что означает необходимость высокой производительности линии раздачи.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чек должен находиться в пределах 150-200 рублей для представителей целевой аудитории и в пределах 220-270 – для более обеспеченных посетителей. При средней заработной плате в 25 000 рублей в месяц, на обеды в 22 смены рабочий потратит 200 х 22 = 4400 руб., что составляет 17,6% от месячного дохода. Учитывая, что, согласно статистике, россияне в последние годы тратят большую часть доходов на еду, данная цифра не представляется критичной. Следует учитывать также и тот факт, что приготовить полноценный обед в домашних условиях по стоимости составит примерно такую же сумму.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территории БП расположена еще одна столовая, однако ее позиционирование можно отнести к ценовому сегменту «премиум» при относительно невысоком качестве блюд и обслуживания. На сегодняшний день, по оценкам специалистов проекта «Сидим-Едим», данное предприятие с трудом обеспечивает окупаемость.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Поскольку «Сидим-Едим» ориентируется на большой поток посетителей, критичным является верная организация логистики на линии раздачи, а также в зале обслуживания. Для этого предусмотрены две линии раздачи, которые обслуживаются тремя кассирами, и два входа в зал.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 работы столовой – 9.00 – 17.00, понедельник – пятница, что также обусловлено ориентацией на целевую аудиторию. Основная загрузка зала приходится на обеденное время – 12.00 – 14.00, т.к. различные предприятия имеют разный график работы; на это время приходится 85% посетителей. Кроме обеда, столовая предлагает легкий завтрак с 09.00 до 10.00. Также, столовая предлагает услуги организации банкетов. Предположительно, востребованной данная услуга может оказаться 1-3 раза в месяц.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CF0">
        <w:rPr>
          <w:rFonts w:ascii="Times New Roman" w:eastAsia="Times New Roman" w:hAnsi="Times New Roman" w:cs="Times New Roman"/>
          <w:color w:val="000000"/>
          <w:lang w:eastAsia="ru-RU"/>
        </w:rPr>
        <w:t>Таблица 2. Инвестиционные затраты предприятия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153150" cy="6267450"/>
            <wp:effectExtent l="0" t="0" r="0" b="0"/>
            <wp:docPr id="6" name="Рисунок 6" descr="Инвестиционные затраты предпри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нвестиционные затраты предприяти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0" cy="626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264" w:lineRule="atLeast"/>
        <w:jc w:val="both"/>
        <w:outlineLvl w:val="3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462CF0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3. ОПИСАНИЕ ПРОДУКЦИИ И УСЛУГ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Столовая «Сидим-Едим» ориентирована на традиционную русскую кухню с использованием в меню рыбы, мяса, птицы, круп и прочих гарниров, овощей и т.д. Ежедневное меню составляется с учетом возможности использования одних и тех же ингредиентов в различных блюдах.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CF0">
        <w:rPr>
          <w:rFonts w:ascii="Times New Roman" w:eastAsia="Times New Roman" w:hAnsi="Times New Roman" w:cs="Times New Roman"/>
          <w:color w:val="000000"/>
          <w:lang w:eastAsia="ru-RU"/>
        </w:rPr>
        <w:t>Таблица 3. Ежедневный ассортимент блюд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5991225" cy="1619250"/>
            <wp:effectExtent l="0" t="0" r="9525" b="0"/>
            <wp:docPr id="5" name="Рисунок 5" descr="Ежедневный ассортимент блю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Ежедневный ассортимент блюд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122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приготовления блюд используются только качественные продукты, приобретаемые у проверенных поставщиков. Однако</w:t>
      </w:r>
      <w:proofErr w:type="gramStart"/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значительное внимание уделяется стоимости продуктов, т.к. при относительно невысоком среднем чеке предприятию необходимо иметь приемлемую рентабельность. Доставка продуктов осуществляется на личном автомобиле предпринимателя (автора проекта).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день меню меняет ориентацию на используемый основной ингредиент – курица, мясо или рыба. При этом</w:t>
      </w:r>
      <w:proofErr w:type="gramStart"/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доля блюд, содержащих «сегодняшний» ингредиент составляет 70-75% от общего объема.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столовой предполагается самообслуживание. Поварами обслуживается небольшая часть линии раздачи. Стол очищается посетителями самостоятельно – посуда загружается на поднос, который передается в посудомоечную комнату. В качестве дополнительной услуги предлагается бесплатная упаковка приобретенных блюд в одноразовый </w:t>
      </w:r>
      <w:proofErr w:type="spellStart"/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полистироловый</w:t>
      </w:r>
      <w:proofErr w:type="spellEnd"/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контейнер, в случае, если клиент не </w:t>
      </w:r>
      <w:proofErr w:type="gramStart"/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хочет</w:t>
      </w:r>
      <w:proofErr w:type="gramEnd"/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есть в зале.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проведения банкета, столовая предлагает меню на выбор заказчика, а также услуги по приготовлению и сервировке стола, а также текущему обслуживанию банкета – подаче новых блюд и уборке приборов со стола. 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462CF0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4. ПРОДАЖИ И МАРКЕТИНГ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Продажи всей продукции осуществляются непосредственно в зале обслуживания, с линии раздачи. Каждая линия обслуживается двумя поварами и одним кассиром. Употребление еды происходит в зале обслуживания посетителей за обеденными столами.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столиков в зале – 15 штук, каждый на 4 места. Оборачиваемость столика – 2 раза в час. При времени обеда с 12.00 по 14.00 (в различных организациях могут быть различные графики работы), количество посетителей составит 15*4*2*2=240; порядка 20% посетителей будут приходить не в обеденное время, таким </w:t>
      </w:r>
      <w:proofErr w:type="gramStart"/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образом</w:t>
      </w:r>
      <w:proofErr w:type="gramEnd"/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всего столовую посетят 240+20%*22=6336 человек в месяц. Поскольку 70% от общего объема </w:t>
      </w:r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работающих в БП составляют производственные рабочие с относительно невысоким уровнем дохода, основная ориентация при разработке меню происходит именно на них. Средний чек для них составляет 200 руб. Для остальных посетителей – 250 руб.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начале линии раздачи находится тумба с подносами, на которые посетители могут ставить тарелки и столовые приборы. На протяжении линии раздачи блюда расположены в следующем порядке: подносы, столовые приборы, хлеб, салаты, первое, второе и гарнир, десерты, напитки. В конце линии располагаются два кассира, подсчитывающие стоимость заказа, принимающие оплату от посетителя.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Оплативший заказ посетитель располагается за столом в зале обслуживания. После окончания принятия пищи он относит поднос в окошко судомойки. В обеденное время чистоту в зале поддерживает одна судомойка и администратор. При необходимости, может быть привлечен один из младших поваров.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Масштабные затраты на мероприятия по продвижению не требуются. Поскольку бизнес-парк представляет собой в определенном смысле закрытый социум, информация о столовой распространится среди всех работников организаций-арендаторов в течение месяца. Необходимо обеспечить наличие указателей по всей территории бизнес-парка и вывески над входами в столовую.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Единственный конкурент, расположенный на территории бизнес-парка, по сути, не имеет конкурентных преимуществ, кроме возможности пообедать в тишине пустого зала, однако заплатить за это придется значительно больше, чем в «Сидим-Едим»: средний чек там составляет примерно 300 руб.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462CF0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5. ПЛАН ПРОИЗВОДСТВА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 для столовой закупается у компании «Все для вашей столовой», предлагающей специализированные решения для заведений общественного питания. Стоимость линии – 1,5 млн. руб., в которую входит линия раздачи, оборудование для кухни, а также посуда и столовые приборы. Поставщик оборудования проводит монтаж оборудования и обучение персонала. Срок поставки – 10 рабочих дней с момента оплаты. Монтаж и обучение проводятся в течение 5 рабочих дней.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Поставщики продуктов и полуфабрикатов выбираются исходя из предлагаемого ассортимента, цены и качества. Целесообразно консолидировать максимальный объем заказов у одного поставщика для получения наиболее выгодной цены. Кроме того, это снизит затраты на логистику. Во избежание перебоев с поставками по вине основного поставщика, создается база данных альтернативных поставщиков.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Все продукты маркируются и хранятся в соответствии с требованиями нормативов, применяемых к организациям общественного питания. Сроки хранения соблюдаются с особенной тщательностью. В начале и конце смены в помещении кухни проводится генеральная уборка.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Меню составляется шеф-поваром и утверждается собственником. Один раз в сезон меню пересматривается с целью оптимизации затрат, а также с целью обеспечения большей потребительской привлекательности.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Производство блюд начинается с начала смены с целью обеспечения полного ассортимента к 12.00. Готовые блюда размещаются в мармитах на линии раздачи для поддержания необходимой температуры. Некоторая часть десертов и выпечки изготавливается самостоятельно, часть закупается у поставщика.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Спрос не имеет выраженной сезонности. Некоторый спад приходится на летние месяцы, когда часть </w:t>
      </w:r>
      <w:proofErr w:type="gramStart"/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работающих</w:t>
      </w:r>
      <w:proofErr w:type="gramEnd"/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находится в отпуске.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CF0">
        <w:rPr>
          <w:rFonts w:ascii="Times New Roman" w:eastAsia="Times New Roman" w:hAnsi="Times New Roman" w:cs="Times New Roman"/>
          <w:color w:val="000000"/>
          <w:lang w:eastAsia="ru-RU"/>
        </w:rPr>
        <w:t>Таблица 4. Переменные затраты и калькуляция стоимости среднего чека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143625" cy="1581150"/>
            <wp:effectExtent l="0" t="0" r="9525" b="0"/>
            <wp:docPr id="4" name="Рисунок 4" descr="Переменные затраты и калькуляция стоимости среднего че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еременные затраты и калькуляция стоимости среднего чек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462CF0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6. ОРГАНИЗАЦИОННЫЙ ПЛАН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Стратегическое и оперативное руководство осуществляется собственником. Организационная структура достаточно проста: в прямом подчинении собственника находятся бухгалтер, шеф-повар и администратор; в подчинении шеф-повара – повара, младшие повара и судомойки; в подчинении администратора – кассиры.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эффективного осуществления руководства, собственник обладает всеми необходимыми знаниями, имеет опыт предпринимательской деятельности. Особенные требования предъявляются к шеф-повару, который должен обладать опытом работы в соответствующей должности не менее 10 лет, иметь лидерские навыки.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обязанности администратора входит обеспечение порядка и чистоты в зале обслуживания и эффективной работы с клиентами. При необходимости, администратор </w:t>
      </w:r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может подключаться к уборке зала. В период с 12.00 по 14.00 линию раздачи обслуживают повара и младшие повара.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CF0">
        <w:rPr>
          <w:rFonts w:ascii="Times New Roman" w:eastAsia="Times New Roman" w:hAnsi="Times New Roman" w:cs="Times New Roman"/>
          <w:color w:val="000000"/>
          <w:lang w:eastAsia="ru-RU"/>
        </w:rPr>
        <w:t>Таблица 5. Штатное расписание и фонд оплаты труда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86475" cy="6086475"/>
            <wp:effectExtent l="0" t="0" r="9525" b="9525"/>
            <wp:docPr id="3" name="Рисунок 3" descr="Штатное расписание и фонд оплаты тру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Штатное расписание и фонд оплаты труд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608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462CF0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7. ФИНАНСОВЫЙ ПЛАН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Финансовая модель предприятия рассчитана на основании Единого налога на вмененный доход (ЕНВД). Базовая доходность – 1000 руб. за квадратный метр площади зала обслуживания. Для наиболее выгодной схемы налогообложения предприятие регистрируется как «Столовые при организациях и учреждениях, обеспечивающих </w:t>
      </w:r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пропускной режим, за исключением общедоступных, не реализующих алкогольную продукцию и пиво». Благодаря этому коэффициент k2 снижается с 1,0 до 0,6, что значительно повышает рентабельность предприятия.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Финансовый план рассчитан на пятилетнюю перспективу, однако проект не ограничен во времени. В расчете учтены все затраты. Амортизация рассчитана линейным способом на срок 5 лет. Требуемые инвестиционные затраты составляют 2,62 млн. руб., из которых 1,0 млн. – собственные средства. Остальная сумма привлекается в виде банковского займа на срок 3 года под 18% </w:t>
      </w:r>
      <w:proofErr w:type="gramStart"/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годовых</w:t>
      </w:r>
      <w:proofErr w:type="gramEnd"/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Погашение кредита происходит ежемесячно фиксированными платежами, начиная с третьего месяца.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Выход на плановую посещаемость заведения запланирован с 6 месяца работы, что совпадает с низким сезоном. 100% посещаемости предприятие достигает с 9 месяца работы. Финансовая модель и отчет о движении денежных средств </w:t>
      </w:r>
      <w:proofErr w:type="gramStart"/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приведены</w:t>
      </w:r>
      <w:proofErr w:type="gramEnd"/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Приложении 1. Перечень ежемесячных постоянных затрат приведен в</w:t>
      </w:r>
      <w:proofErr w:type="gramStart"/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6.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CF0">
        <w:rPr>
          <w:rFonts w:ascii="Times New Roman" w:eastAsia="Times New Roman" w:hAnsi="Times New Roman" w:cs="Times New Roman"/>
          <w:color w:val="000000"/>
          <w:lang w:eastAsia="ru-RU"/>
        </w:rPr>
        <w:t>Таблица 6. Постоянные затраты предприятия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48375" cy="1676400"/>
            <wp:effectExtent l="0" t="0" r="9525" b="0"/>
            <wp:docPr id="2" name="Рисунок 2" descr="Постоянные затраты предприят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Постоянные затраты предприятия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462CF0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8. ОЦЕНКА ЭФФЕКТИВНОСТИ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эффективности проекта проводится на основании расчета интегральных показателей эффективности, принятых в мировой практике. Ставка дисконтирования принята на уровне 5%, поскольку продукт не является инновационным, сфера деятельности хорошо известна в мировой и отечественной практике. Срок окупаемости составляет 16 месяцев. Показатели эффективности приведены в</w:t>
      </w:r>
      <w:proofErr w:type="gramStart"/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1. Анализируя полученные данные, можно говорить о том, что проект представляет интерес для инвестора. Чистая прибыль за 5 лет составит 14,48 млн. руб.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462CF0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9. РИСКИ И ГАРАНТИИ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366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Несмотря на то, что рынок и продукт достаточно известны, уровень конкуренции низок, что позволяет сделать предположение </w:t>
      </w:r>
      <w:proofErr w:type="gramStart"/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низкой</w:t>
      </w:r>
      <w:proofErr w:type="gramEnd"/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рисковости</w:t>
      </w:r>
      <w:proofErr w:type="spellEnd"/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проекта, необходимо предусмотреть ряд мероприятий по ликвидации наиболее вероятных рисков, связанных с проектом. Основные факторы и меры по их предотвращению и ликвидации вероятных последствий приведены в</w:t>
      </w:r>
      <w:proofErr w:type="gramStart"/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</w:t>
      </w:r>
      <w:proofErr w:type="gramEnd"/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абл. 7.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366" w:lineRule="atLeast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62CF0">
        <w:rPr>
          <w:rFonts w:ascii="Times New Roman" w:eastAsia="Times New Roman" w:hAnsi="Times New Roman" w:cs="Times New Roman"/>
          <w:color w:val="000000"/>
          <w:lang w:eastAsia="ru-RU"/>
        </w:rPr>
        <w:t>Таблица 7. Факторы риска и мероприятия по их предотвращению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366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76950" cy="2924175"/>
            <wp:effectExtent l="0" t="0" r="0" b="9525"/>
            <wp:docPr id="1" name="Рисунок 1" descr="Факторы риска и мероприятия по их предотвращени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Факторы риска и мероприятия по их предотвращению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62C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62CF0" w:rsidRPr="00462CF0" w:rsidRDefault="00462CF0" w:rsidP="00462CF0">
      <w:pPr>
        <w:shd w:val="clear" w:color="auto" w:fill="FFFFFF"/>
        <w:spacing w:before="100" w:beforeAutospacing="1" w:after="100" w:afterAutospacing="1" w:line="264" w:lineRule="atLeast"/>
        <w:jc w:val="both"/>
        <w:outlineLvl w:val="2"/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</w:pPr>
      <w:r w:rsidRPr="00462CF0">
        <w:rPr>
          <w:rFonts w:ascii="Arial" w:eastAsia="Times New Roman" w:hAnsi="Arial" w:cs="Arial"/>
          <w:smallCaps/>
          <w:color w:val="000000"/>
          <w:sz w:val="50"/>
          <w:szCs w:val="50"/>
          <w:lang w:eastAsia="ru-RU"/>
        </w:rPr>
        <w:t>10. ПРИЛОЖЕНИЯ</w:t>
      </w:r>
    </w:p>
    <w:p w:rsidR="00585DD8" w:rsidRDefault="00585DD8"/>
    <w:sectPr w:rsidR="00585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CF0"/>
    <w:rsid w:val="00057085"/>
    <w:rsid w:val="00061A87"/>
    <w:rsid w:val="00094928"/>
    <w:rsid w:val="00095051"/>
    <w:rsid w:val="00097400"/>
    <w:rsid w:val="000A297B"/>
    <w:rsid w:val="000C262F"/>
    <w:rsid w:val="000E5E5F"/>
    <w:rsid w:val="00111BFE"/>
    <w:rsid w:val="0015159E"/>
    <w:rsid w:val="00162C41"/>
    <w:rsid w:val="00163331"/>
    <w:rsid w:val="001B7FA5"/>
    <w:rsid w:val="001F3D09"/>
    <w:rsid w:val="00211B4C"/>
    <w:rsid w:val="002402D7"/>
    <w:rsid w:val="002604DE"/>
    <w:rsid w:val="00285882"/>
    <w:rsid w:val="00292694"/>
    <w:rsid w:val="002B509D"/>
    <w:rsid w:val="002C2D81"/>
    <w:rsid w:val="002D14FF"/>
    <w:rsid w:val="002D1DEC"/>
    <w:rsid w:val="002E254F"/>
    <w:rsid w:val="00300269"/>
    <w:rsid w:val="0031278E"/>
    <w:rsid w:val="00340A6A"/>
    <w:rsid w:val="0036211C"/>
    <w:rsid w:val="00365F43"/>
    <w:rsid w:val="003757AD"/>
    <w:rsid w:val="0037622E"/>
    <w:rsid w:val="00396FB6"/>
    <w:rsid w:val="003A02CD"/>
    <w:rsid w:val="003C19C0"/>
    <w:rsid w:val="00404D1C"/>
    <w:rsid w:val="004411C0"/>
    <w:rsid w:val="00445703"/>
    <w:rsid w:val="00451AC8"/>
    <w:rsid w:val="004605E8"/>
    <w:rsid w:val="00462CF0"/>
    <w:rsid w:val="0048681A"/>
    <w:rsid w:val="00496F47"/>
    <w:rsid w:val="004B4135"/>
    <w:rsid w:val="004E6732"/>
    <w:rsid w:val="00516BF2"/>
    <w:rsid w:val="0054077B"/>
    <w:rsid w:val="00583F0E"/>
    <w:rsid w:val="00585DD8"/>
    <w:rsid w:val="005B1D69"/>
    <w:rsid w:val="005B4990"/>
    <w:rsid w:val="005C2B88"/>
    <w:rsid w:val="00613087"/>
    <w:rsid w:val="00646CBF"/>
    <w:rsid w:val="00664193"/>
    <w:rsid w:val="00675C21"/>
    <w:rsid w:val="0068552A"/>
    <w:rsid w:val="006A5B23"/>
    <w:rsid w:val="006C08C5"/>
    <w:rsid w:val="006D42DB"/>
    <w:rsid w:val="00707FF5"/>
    <w:rsid w:val="0071267E"/>
    <w:rsid w:val="00721B7B"/>
    <w:rsid w:val="00753504"/>
    <w:rsid w:val="007649CE"/>
    <w:rsid w:val="007D0ED9"/>
    <w:rsid w:val="007D32A1"/>
    <w:rsid w:val="0083095A"/>
    <w:rsid w:val="00837FE0"/>
    <w:rsid w:val="00866CC7"/>
    <w:rsid w:val="008A37D6"/>
    <w:rsid w:val="008D642E"/>
    <w:rsid w:val="0092523C"/>
    <w:rsid w:val="00927C3B"/>
    <w:rsid w:val="009350FE"/>
    <w:rsid w:val="009532BA"/>
    <w:rsid w:val="00957364"/>
    <w:rsid w:val="00980938"/>
    <w:rsid w:val="0099677D"/>
    <w:rsid w:val="009D0D49"/>
    <w:rsid w:val="00A04D21"/>
    <w:rsid w:val="00A14145"/>
    <w:rsid w:val="00A25525"/>
    <w:rsid w:val="00A42B2A"/>
    <w:rsid w:val="00AA1D33"/>
    <w:rsid w:val="00AA40C5"/>
    <w:rsid w:val="00AE4D17"/>
    <w:rsid w:val="00B36149"/>
    <w:rsid w:val="00B40E15"/>
    <w:rsid w:val="00B47F14"/>
    <w:rsid w:val="00B87253"/>
    <w:rsid w:val="00B90156"/>
    <w:rsid w:val="00BB0A42"/>
    <w:rsid w:val="00C01448"/>
    <w:rsid w:val="00C15DB9"/>
    <w:rsid w:val="00C22FB2"/>
    <w:rsid w:val="00C23058"/>
    <w:rsid w:val="00C30886"/>
    <w:rsid w:val="00C43A10"/>
    <w:rsid w:val="00C60A0F"/>
    <w:rsid w:val="00C83709"/>
    <w:rsid w:val="00C86F21"/>
    <w:rsid w:val="00CA041C"/>
    <w:rsid w:val="00CA7355"/>
    <w:rsid w:val="00CB23BA"/>
    <w:rsid w:val="00CC3D59"/>
    <w:rsid w:val="00CD0289"/>
    <w:rsid w:val="00CE1FA6"/>
    <w:rsid w:val="00D16D22"/>
    <w:rsid w:val="00D37B28"/>
    <w:rsid w:val="00D461C9"/>
    <w:rsid w:val="00D512F5"/>
    <w:rsid w:val="00D64A5F"/>
    <w:rsid w:val="00D66CFB"/>
    <w:rsid w:val="00D7138C"/>
    <w:rsid w:val="00D828E6"/>
    <w:rsid w:val="00D8721A"/>
    <w:rsid w:val="00DC7A77"/>
    <w:rsid w:val="00DE442F"/>
    <w:rsid w:val="00DE795B"/>
    <w:rsid w:val="00E249D9"/>
    <w:rsid w:val="00E31ED7"/>
    <w:rsid w:val="00E32200"/>
    <w:rsid w:val="00E72542"/>
    <w:rsid w:val="00E74E69"/>
    <w:rsid w:val="00E82A1E"/>
    <w:rsid w:val="00EB0AAE"/>
    <w:rsid w:val="00EB32A5"/>
    <w:rsid w:val="00EB746E"/>
    <w:rsid w:val="00EE0389"/>
    <w:rsid w:val="00EE0865"/>
    <w:rsid w:val="00EE760B"/>
    <w:rsid w:val="00F002AD"/>
    <w:rsid w:val="00F02EC2"/>
    <w:rsid w:val="00F03A2C"/>
    <w:rsid w:val="00F07C0C"/>
    <w:rsid w:val="00F22E7C"/>
    <w:rsid w:val="00F26122"/>
    <w:rsid w:val="00F87AD7"/>
    <w:rsid w:val="00FB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2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62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2C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6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2CF0"/>
  </w:style>
  <w:style w:type="paragraph" w:styleId="a4">
    <w:name w:val="Balloon Text"/>
    <w:basedOn w:val="a"/>
    <w:link w:val="a5"/>
    <w:uiPriority w:val="99"/>
    <w:semiHidden/>
    <w:unhideWhenUsed/>
    <w:rsid w:val="0046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C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2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62CF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2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2CF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462C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62CF0"/>
  </w:style>
  <w:style w:type="paragraph" w:styleId="a4">
    <w:name w:val="Balloon Text"/>
    <w:basedOn w:val="a"/>
    <w:link w:val="a5"/>
    <w:uiPriority w:val="99"/>
    <w:semiHidden/>
    <w:unhideWhenUsed/>
    <w:rsid w:val="00462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4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БИН18</dc:creator>
  <cp:lastModifiedBy>БИН18</cp:lastModifiedBy>
  <cp:revision>1</cp:revision>
  <dcterms:created xsi:type="dcterms:W3CDTF">2016-09-04T08:29:00Z</dcterms:created>
  <dcterms:modified xsi:type="dcterms:W3CDTF">2016-09-04T08:30:00Z</dcterms:modified>
</cp:coreProperties>
</file>